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05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E700C" w:rsidRPr="001749B3" w:rsidTr="00900038">
        <w:tc>
          <w:tcPr>
            <w:tcW w:w="4077" w:type="dxa"/>
            <w:shd w:val="clear" w:color="auto" w:fill="auto"/>
          </w:tcPr>
          <w:p w:rsidR="004E700C" w:rsidRPr="00E46EBC" w:rsidRDefault="004E700C" w:rsidP="0090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E700C" w:rsidRPr="00900038" w:rsidRDefault="004E700C" w:rsidP="0090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6B34" w:rsidRPr="000B6F40" w:rsidRDefault="002A6B34" w:rsidP="00ED59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88E" w:rsidRPr="000B6F40" w:rsidRDefault="006E688E" w:rsidP="006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работы</w:t>
      </w:r>
      <w:r w:rsidR="00900038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обращениями граждан за </w:t>
      </w:r>
      <w:r w:rsidR="00A7705E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A43660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A3103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квартал 202</w:t>
      </w:r>
      <w:r w:rsidR="00A7705E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900038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="00CA3103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900038"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E700C" w:rsidRPr="000B6F40" w:rsidRDefault="00900038" w:rsidP="006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6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Главном управлении МЧС России по Тульской области</w:t>
      </w:r>
    </w:p>
    <w:p w:rsidR="00151377" w:rsidRPr="000B6F40" w:rsidRDefault="0015137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BD7" w:rsidRPr="000B6F40" w:rsidRDefault="004E700C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AC0EF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8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A4366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A3103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="00FD2BA1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A7705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F155D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A1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90003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Главное управление МЧС России по Тульской области (далее – Главное управление)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073277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555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1D41C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граждан. В сравнении с</w:t>
      </w:r>
      <w:r w:rsidR="002E0BC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аналогичным периодом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</w:t>
      </w:r>
      <w:r w:rsidR="002E0BC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E0BC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</w:t>
      </w:r>
      <w:r w:rsidR="008A6D4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90003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числа на </w:t>
      </w:r>
      <w:r w:rsidR="001D193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A4366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503 обращения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E56E4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5FB5" w:rsidRPr="000B6F40" w:rsidRDefault="00945FB5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536" w:rsidRDefault="00CF6017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BBD2C" wp14:editId="5EF53100">
                <wp:simplePos x="0" y="0"/>
                <wp:positionH relativeFrom="column">
                  <wp:posOffset>3557821</wp:posOffset>
                </wp:positionH>
                <wp:positionV relativeFrom="paragraph">
                  <wp:posOffset>1598930</wp:posOffset>
                </wp:positionV>
                <wp:extent cx="533400" cy="327547"/>
                <wp:effectExtent l="57150" t="0" r="76200" b="1301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75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B050"/>
                          </a:outerShdw>
                        </a:effectLst>
                      </wps:spPr>
                      <wps:txbx>
                        <w:txbxContent>
                          <w:p w:rsidR="00513C30" w:rsidRPr="00CF6017" w:rsidRDefault="001D1935" w:rsidP="000B4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10</w:t>
                            </w:r>
                            <w:r w:rsidR="00513C30" w:rsidRPr="00CF6017">
                              <w:rPr>
                                <w:rFonts w:ascii="Times New Roman" w:hAnsi="Times New Roman" w:cs="Times New Roman"/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BD2C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280.15pt;margin-top:125.9pt;width:4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" fillcolor="#92d050">
                <v:shadow on="t" color="#00b050" offset="0,4pt"/>
                <v:textbox>
                  <w:txbxContent>
                    <w:p w:rsidR="00513C30" w:rsidRPr="00CF6017" w:rsidRDefault="001D1935" w:rsidP="000B4B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10</w:t>
                      </w:r>
                      <w:r w:rsidR="00513C30" w:rsidRPr="00CF6017">
                        <w:rPr>
                          <w:rFonts w:ascii="Times New Roman" w:hAnsi="Times New Roman" w:cs="Times New Roman"/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B4BD7" w:rsidRPr="00AE2A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65BC0A" wp14:editId="7CEBD32D">
            <wp:extent cx="5486400" cy="2671948"/>
            <wp:effectExtent l="0" t="0" r="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5FB5" w:rsidRDefault="00945FB5" w:rsidP="00ED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36" w:rsidRDefault="00C85DF6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Удельный вес письменных обращений, поступивших в Главное управление непосредствен</w:t>
      </w:r>
      <w:r w:rsidR="004C3B5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от граждан составл</w:t>
      </w:r>
      <w:r w:rsidR="0029318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 14% (79 обращений), АППГ- 11</w:t>
      </w:r>
      <w:r w:rsidR="004C3B5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(60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обращений). Удельный вес обращений, поступивших в электронной форме</w:t>
      </w:r>
      <w:r w:rsidR="00EF612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(85% о</w:t>
      </w:r>
      <w:r w:rsidR="004C3B5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общего числа обращений или 476</w:t>
      </w:r>
      <w:r w:rsidR="004655B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12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обращений)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58694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меньшился на 3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в сравнении с 2023 годом</w:t>
      </w:r>
      <w:r w:rsidR="00EF612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4C3B5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88</w:t>
      </w:r>
      <w:r w:rsidR="00EF612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="0058694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443 обращения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 Удельный вес обращений, оставленных без ответа авт</w:t>
      </w:r>
      <w:r w:rsidR="0029318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 составляет 1</w:t>
      </w:r>
      <w:r w:rsidR="0058694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(1 обращение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29318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EF612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="0029318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655B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</w:t>
      </w:r>
      <w:r w:rsidR="00945FB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ED596D" w:rsidRPr="000B6F40" w:rsidRDefault="00ED596D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288" w:rsidRDefault="00C85DF6" w:rsidP="00EF6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E408F" wp14:editId="2B1F7116">
            <wp:extent cx="5486400" cy="2588821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5DF6" w:rsidRDefault="00C85DF6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36" w:rsidRPr="000B6F40" w:rsidRDefault="002E4536" w:rsidP="002E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содержания обращений граждан показывает, что наибольшее количество обращений поступило по вопросам:</w:t>
      </w:r>
    </w:p>
    <w:p w:rsidR="002E4536" w:rsidRPr="000B6F40" w:rsidRDefault="002E4536" w:rsidP="002E453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инспекция по маломерным судам;</w:t>
      </w:r>
    </w:p>
    <w:p w:rsidR="002E4536" w:rsidRPr="000B6F40" w:rsidRDefault="002E4536" w:rsidP="002E453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противопожарной службы и соблюдение норм пожарной безопасности.</w:t>
      </w:r>
    </w:p>
    <w:p w:rsidR="002E4536" w:rsidRPr="000B6F40" w:rsidRDefault="00EF6125" w:rsidP="002E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количество обращений касаются</w:t>
      </w:r>
      <w:r w:rsidR="002E453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ГИМС. </w:t>
      </w:r>
      <w:r w:rsidR="004655B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 году поступило 350</w:t>
      </w:r>
      <w:r w:rsidR="0028269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21F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</w:t>
      </w:r>
      <w:r w:rsidR="004655B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данной тематике (63</w:t>
      </w:r>
      <w:r w:rsidR="0028269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66AF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количества обращений</w:t>
      </w:r>
      <w:r w:rsidR="0028269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655B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АППГ: 252 или 50</w:t>
      </w:r>
      <w:r w:rsidR="0028269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общего количества). Количество таких обращений по сравнению с аналогичным периодом прошлого года резко возросло.  </w:t>
      </w:r>
      <w:r w:rsidR="002E453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основном это обращения - запросы финансовых управляющих и граждан о предоставлении сведений о наличии или отсутствии зарегистрированных маломерных судов, а также реализации прав граждан при прохождении процедуры банкротства. </w:t>
      </w:r>
      <w:r w:rsidR="0028269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4BD7" w:rsidRPr="000B6F40" w:rsidRDefault="002E4536" w:rsidP="00EF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граждане обращаются по вопросам нарушения требований пожарной безопасности в многоквартирных домах и на придомовых территориях, захламления коридоров общего пользования, проездов и подъездо</w:t>
      </w:r>
      <w:r w:rsidR="0090200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 </w:t>
      </w:r>
      <w:r w:rsidR="00EB521F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многоквартирным жилым домам (141 или 25</w:t>
      </w:r>
      <w:r w:rsidR="0090200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общего</w:t>
      </w:r>
      <w:r w:rsidR="00EB521F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количества обращений, что на 16% </w:t>
      </w:r>
      <w:r w:rsidR="0090200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меньше доли подобных обращений из общего числа обращений за </w:t>
      </w:r>
      <w:r w:rsidR="00EB521F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90200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90200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2023 года).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</w:t>
      </w:r>
      <w:r w:rsidR="00EF6125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таких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рассматриваются с выездом на место, проводятся проверки по заявлениям граждан, ведется профилактическая работа. </w:t>
      </w:r>
    </w:p>
    <w:p w:rsidR="0090200C" w:rsidRDefault="0090200C" w:rsidP="0090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82695" w:rsidRDefault="0090200C" w:rsidP="00EF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486400" cy="2933205"/>
            <wp:effectExtent l="0" t="0" r="0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200C" w:rsidRDefault="0090200C" w:rsidP="00EF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979B3" w:rsidRDefault="00E979B3" w:rsidP="00EF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37E4" w:rsidRPr="000B6F40" w:rsidRDefault="000037E4" w:rsidP="00EF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на наиболее актуальные вопросы из обращений граждан размещены в разделе «Часто задаваемые вопросы» на официальном сайте Главного управления МЧС России по Тульской области.</w:t>
      </w:r>
    </w:p>
    <w:p w:rsidR="001F3402" w:rsidRPr="000B6F40" w:rsidRDefault="0003357A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постоянной основе п</w:t>
      </w:r>
      <w:r w:rsidR="00662E2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роводится консультативная поддержка структурных подразделений по вопросам рассмотрения обращений граждан.</w:t>
      </w:r>
    </w:p>
    <w:p w:rsidR="00BC701F" w:rsidRPr="000B6F40" w:rsidRDefault="00BC701F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Анализ обращений граждан по результатам рассмотрения показывает, что наибольшая доля принятых решений приходится на разъяснительные ответы – </w:t>
      </w:r>
      <w:r w:rsidR="00C32C9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457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32C9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EB7283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кол</w:t>
      </w:r>
      <w:r w:rsidR="00BD289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ичества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(АППГ: </w:t>
      </w:r>
      <w:r w:rsidR="00C32C9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="002F2FD7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D1147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32C9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11%),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поддержано – </w:t>
      </w:r>
      <w:r w:rsidR="00C32C9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обращения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</w:t>
      </w:r>
      <w:r w:rsidR="00C32C9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0,3</w:t>
      </w:r>
      <w:r w:rsidR="00227A6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общего количества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(АППГ – </w:t>
      </w:r>
      <w:r w:rsidR="00C32C9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767C2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D289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574E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переадресовано по компетенции 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74E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574E" w:rsidRPr="00277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574E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количества) обращени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574E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574E" w:rsidRPr="00277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574E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EE574E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574E" w:rsidRPr="00277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57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74E" w:rsidRPr="002F467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42422" w:rsidRDefault="00242422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242422" w:rsidRPr="00F75EC0" w:rsidRDefault="00242422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2894275"/>
            <wp:effectExtent l="0" t="0" r="0" b="19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5EC0" w:rsidRDefault="00F75EC0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364E" w:rsidRPr="00494441" w:rsidRDefault="0037364E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37364E" w:rsidRPr="001D1A01" w:rsidRDefault="00805D53" w:rsidP="00902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структурных п</w:t>
      </w:r>
      <w:r w:rsidR="00EF6125" w:rsidRPr="008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одразделений Главного управления</w:t>
      </w:r>
      <w:r w:rsidR="00426629" w:rsidRPr="008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2024 году</w:t>
      </w:r>
      <w:r w:rsidRPr="008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наибольшее количество обращений рассмотрено сотрудниками </w:t>
      </w:r>
      <w:r w:rsidR="00426629" w:rsidRPr="008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 государственной инспекции по маломерным судам</w:t>
      </w:r>
      <w:r w:rsidR="00902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-350 обращений (АППГ-252</w:t>
      </w:r>
      <w:r w:rsidRPr="008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426629" w:rsidRPr="008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надзорной деятельнос</w:t>
      </w:r>
      <w:r w:rsidR="00902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и профилактической работы-141 обращение (АППГ-205)</w:t>
      </w:r>
      <w:r w:rsidR="009029BF" w:rsidRPr="00902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2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1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организации пожаротушения и проведения аварийно-спасательных работ-14 обращений (АППГ-13). </w:t>
      </w:r>
    </w:p>
    <w:p w:rsidR="0090200C" w:rsidRPr="00494441" w:rsidRDefault="0090200C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7"/>
        <w:gridCol w:w="1984"/>
        <w:gridCol w:w="1809"/>
      </w:tblGrid>
      <w:tr w:rsidR="009D025D" w:rsidRPr="004C24B1" w:rsidTr="0037364E">
        <w:tc>
          <w:tcPr>
            <w:tcW w:w="5387" w:type="dxa"/>
          </w:tcPr>
          <w:p w:rsidR="00494441" w:rsidRPr="004C24B1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1984" w:type="dxa"/>
          </w:tcPr>
          <w:p w:rsidR="00494441" w:rsidRPr="002A4981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56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09" w:type="dxa"/>
          </w:tcPr>
          <w:p w:rsidR="00494441" w:rsidRPr="004C24B1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ГИМС</w:t>
            </w:r>
          </w:p>
        </w:tc>
        <w:tc>
          <w:tcPr>
            <w:tcW w:w="1984" w:type="dxa"/>
          </w:tcPr>
          <w:p w:rsidR="00494441" w:rsidRPr="00F569B0" w:rsidRDefault="00440E5C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6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809" w:type="dxa"/>
          </w:tcPr>
          <w:p w:rsidR="00494441" w:rsidRPr="00F569B0" w:rsidRDefault="00F569B0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6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УНДиПР</w:t>
            </w:r>
          </w:p>
        </w:tc>
        <w:tc>
          <w:tcPr>
            <w:tcW w:w="1984" w:type="dxa"/>
          </w:tcPr>
          <w:p w:rsidR="00494441" w:rsidRPr="00F569B0" w:rsidRDefault="00F569B0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6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809" w:type="dxa"/>
          </w:tcPr>
          <w:p w:rsidR="00494441" w:rsidRPr="00F569B0" w:rsidRDefault="00F569B0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6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ЦУКС</w:t>
            </w:r>
          </w:p>
        </w:tc>
        <w:tc>
          <w:tcPr>
            <w:tcW w:w="1984" w:type="dxa"/>
          </w:tcPr>
          <w:p w:rsidR="00494441" w:rsidRPr="002A4981" w:rsidRDefault="002A4981" w:rsidP="009029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B37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УКВРиПО</w:t>
            </w:r>
          </w:p>
        </w:tc>
        <w:tc>
          <w:tcPr>
            <w:tcW w:w="1984" w:type="dxa"/>
          </w:tcPr>
          <w:p w:rsidR="00494441" w:rsidRPr="000807AE" w:rsidRDefault="002A4981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УОПТиПАСР</w:t>
            </w:r>
          </w:p>
        </w:tc>
        <w:tc>
          <w:tcPr>
            <w:tcW w:w="1984" w:type="dxa"/>
          </w:tcPr>
          <w:p w:rsidR="00494441" w:rsidRPr="000807AE" w:rsidRDefault="000807AE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УГОиЗН</w:t>
            </w:r>
          </w:p>
        </w:tc>
        <w:tc>
          <w:tcPr>
            <w:tcW w:w="1984" w:type="dxa"/>
          </w:tcPr>
          <w:p w:rsidR="00494441" w:rsidRPr="000807AE" w:rsidRDefault="000807AE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426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УМТО</w:t>
            </w:r>
          </w:p>
        </w:tc>
        <w:tc>
          <w:tcPr>
            <w:tcW w:w="1984" w:type="dxa"/>
          </w:tcPr>
          <w:p w:rsidR="00494441" w:rsidRPr="000807AE" w:rsidRDefault="000807AE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ЮО</w:t>
            </w:r>
          </w:p>
        </w:tc>
        <w:tc>
          <w:tcPr>
            <w:tcW w:w="1984" w:type="dxa"/>
          </w:tcPr>
          <w:p w:rsidR="00494441" w:rsidRPr="000807AE" w:rsidRDefault="000807AE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ОИТиС</w:t>
            </w:r>
          </w:p>
        </w:tc>
        <w:tc>
          <w:tcPr>
            <w:tcW w:w="1984" w:type="dxa"/>
          </w:tcPr>
          <w:p w:rsidR="00494441" w:rsidRPr="000807AE" w:rsidRDefault="002A4981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537D4E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ГРОГ</w:t>
            </w:r>
          </w:p>
        </w:tc>
        <w:tc>
          <w:tcPr>
            <w:tcW w:w="1984" w:type="dxa"/>
          </w:tcPr>
          <w:p w:rsidR="00494441" w:rsidRPr="000807AE" w:rsidRDefault="002A4981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1984" w:type="dxa"/>
          </w:tcPr>
          <w:p w:rsidR="00494441" w:rsidRPr="000807AE" w:rsidRDefault="002A4981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ООП</w:t>
            </w:r>
          </w:p>
        </w:tc>
        <w:tc>
          <w:tcPr>
            <w:tcW w:w="1984" w:type="dxa"/>
          </w:tcPr>
          <w:p w:rsidR="00494441" w:rsidRPr="000807AE" w:rsidRDefault="00494441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ОМПО</w:t>
            </w:r>
          </w:p>
        </w:tc>
        <w:tc>
          <w:tcPr>
            <w:tcW w:w="1984" w:type="dxa"/>
          </w:tcPr>
          <w:p w:rsidR="00494441" w:rsidRPr="000807AE" w:rsidRDefault="000807AE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D025D" w:rsidRPr="004C24B1" w:rsidTr="0037364E">
        <w:tc>
          <w:tcPr>
            <w:tcW w:w="5387" w:type="dxa"/>
          </w:tcPr>
          <w:p w:rsidR="00494441" w:rsidRPr="004C24B1" w:rsidRDefault="00494441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ФЭУ</w:t>
            </w:r>
          </w:p>
        </w:tc>
        <w:tc>
          <w:tcPr>
            <w:tcW w:w="1984" w:type="dxa"/>
          </w:tcPr>
          <w:p w:rsidR="00494441" w:rsidRPr="000807AE" w:rsidRDefault="000807AE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07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</w:tcPr>
          <w:p w:rsidR="00494441" w:rsidRPr="004C24B1" w:rsidRDefault="009029BF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873985" w:rsidRDefault="00873985" w:rsidP="00373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73985" w:rsidRDefault="00873985" w:rsidP="00373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364E" w:rsidRPr="000B6F40" w:rsidRDefault="00873985" w:rsidP="0087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C673F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7C673F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 2024 года </w:t>
      </w:r>
      <w:r w:rsidR="004A62D1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значительно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A62D1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меньшилось</w:t>
      </w:r>
      <w:r w:rsidR="00BA3CC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обращений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поступивших в территориальные отделы и отделения надзорной деятельности и профилактической работы</w:t>
      </w:r>
      <w:r w:rsidR="004A62D1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62691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C7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(АППГ:31 обращение</w:t>
      </w:r>
      <w:r w:rsidR="004A62D1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873985" w:rsidRPr="000B6F40" w:rsidRDefault="00873985" w:rsidP="00873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842"/>
      </w:tblGrid>
      <w:tr w:rsidR="000B6F40" w:rsidRPr="000B6F40" w:rsidTr="0062691E">
        <w:trPr>
          <w:trHeight w:val="367"/>
        </w:trPr>
        <w:tc>
          <w:tcPr>
            <w:tcW w:w="5353" w:type="dxa"/>
          </w:tcPr>
          <w:p w:rsidR="000A7452" w:rsidRPr="000B6F40" w:rsidRDefault="000A7452" w:rsidP="000A74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Подразделения НД и ПР</w:t>
            </w:r>
          </w:p>
        </w:tc>
        <w:tc>
          <w:tcPr>
            <w:tcW w:w="1985" w:type="dxa"/>
          </w:tcPr>
          <w:p w:rsidR="000A7452" w:rsidRPr="000B6F40" w:rsidRDefault="000A7452" w:rsidP="000A74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42" w:type="dxa"/>
          </w:tcPr>
          <w:p w:rsidR="000A7452" w:rsidRPr="000B6F40" w:rsidRDefault="000A7452" w:rsidP="000A74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</w:tr>
      <w:tr w:rsidR="000B6F40" w:rsidRPr="000B6F40" w:rsidTr="000A7452">
        <w:tc>
          <w:tcPr>
            <w:tcW w:w="5353" w:type="dxa"/>
          </w:tcPr>
          <w:p w:rsidR="000A7452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Центральному округу)</w:t>
            </w:r>
          </w:p>
        </w:tc>
        <w:tc>
          <w:tcPr>
            <w:tcW w:w="1985" w:type="dxa"/>
          </w:tcPr>
          <w:p w:rsidR="000A7452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0A7452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0B6F40" w:rsidRPr="000B6F40" w:rsidTr="000A7452">
        <w:tc>
          <w:tcPr>
            <w:tcW w:w="5353" w:type="dxa"/>
          </w:tcPr>
          <w:p w:rsidR="000A7452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Зареченскому округу)</w:t>
            </w:r>
          </w:p>
        </w:tc>
        <w:tc>
          <w:tcPr>
            <w:tcW w:w="1985" w:type="dxa"/>
          </w:tcPr>
          <w:p w:rsidR="000A7452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0A7452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B6F40" w:rsidRPr="000B6F40" w:rsidTr="000A7452">
        <w:tc>
          <w:tcPr>
            <w:tcW w:w="5353" w:type="dxa"/>
          </w:tcPr>
          <w:p w:rsidR="000A7452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Пролетарскому округу)</w:t>
            </w:r>
          </w:p>
        </w:tc>
        <w:tc>
          <w:tcPr>
            <w:tcW w:w="1985" w:type="dxa"/>
          </w:tcPr>
          <w:p w:rsidR="000A7452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A7452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B6F40" w:rsidRPr="000B6F40" w:rsidTr="000A7452">
        <w:tc>
          <w:tcPr>
            <w:tcW w:w="5353" w:type="dxa"/>
          </w:tcPr>
          <w:p w:rsidR="000A7452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Привокзальному и Советскому округам)</w:t>
            </w:r>
          </w:p>
        </w:tc>
        <w:tc>
          <w:tcPr>
            <w:tcW w:w="1985" w:type="dxa"/>
          </w:tcPr>
          <w:p w:rsidR="000A7452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0A7452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B6F40" w:rsidRPr="000B6F40" w:rsidTr="000A7452">
        <w:tc>
          <w:tcPr>
            <w:tcW w:w="5353" w:type="dxa"/>
          </w:tcPr>
          <w:p w:rsidR="000A7452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Алексинскому и Заокскому районам Тульской области</w:t>
            </w:r>
          </w:p>
        </w:tc>
        <w:tc>
          <w:tcPr>
            <w:tcW w:w="1985" w:type="dxa"/>
          </w:tcPr>
          <w:p w:rsidR="000A7452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0A7452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B6F40" w:rsidRPr="000B6F40" w:rsidTr="000A7452">
        <w:tc>
          <w:tcPr>
            <w:tcW w:w="5353" w:type="dxa"/>
          </w:tcPr>
          <w:p w:rsidR="000A7452" w:rsidRPr="000B6F40" w:rsidRDefault="00BA3CC0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ОНДиПР по Белевскому </w:t>
            </w:r>
            <w:r w:rsidR="00441F3F"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району Тульской области</w:t>
            </w:r>
          </w:p>
        </w:tc>
        <w:tc>
          <w:tcPr>
            <w:tcW w:w="1985" w:type="dxa"/>
          </w:tcPr>
          <w:p w:rsidR="000A7452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0A7452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B6F40" w:rsidRPr="000B6F40" w:rsidTr="000A7452">
        <w:tc>
          <w:tcPr>
            <w:tcW w:w="5353" w:type="dxa"/>
          </w:tcPr>
          <w:p w:rsidR="000A7452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Богородицкому и Куркинскому  районам Тульской области</w:t>
            </w:r>
          </w:p>
        </w:tc>
        <w:tc>
          <w:tcPr>
            <w:tcW w:w="1985" w:type="dxa"/>
          </w:tcPr>
          <w:p w:rsidR="000A7452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A7452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B6F40" w:rsidRPr="000B6F40" w:rsidTr="000A7452">
        <w:tc>
          <w:tcPr>
            <w:tcW w:w="5353" w:type="dxa"/>
          </w:tcPr>
          <w:p w:rsidR="00441F3F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Веневскому  району Тульской области</w:t>
            </w:r>
          </w:p>
        </w:tc>
        <w:tc>
          <w:tcPr>
            <w:tcW w:w="1985" w:type="dxa"/>
          </w:tcPr>
          <w:p w:rsidR="00441F3F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441F3F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B6F40" w:rsidRPr="000B6F40" w:rsidTr="000A7452">
        <w:tc>
          <w:tcPr>
            <w:tcW w:w="5353" w:type="dxa"/>
          </w:tcPr>
          <w:p w:rsidR="00441F3F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Ефремовскому, Каменскому и Воловскому районам  Тульской области</w:t>
            </w:r>
          </w:p>
        </w:tc>
        <w:tc>
          <w:tcPr>
            <w:tcW w:w="1985" w:type="dxa"/>
          </w:tcPr>
          <w:p w:rsidR="00441F3F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441F3F" w:rsidRPr="000B6F40" w:rsidRDefault="00F20C7C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B6F40" w:rsidRPr="000B6F40" w:rsidTr="000A7452">
        <w:tc>
          <w:tcPr>
            <w:tcW w:w="5353" w:type="dxa"/>
          </w:tcPr>
          <w:p w:rsidR="00441F3F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Кимовскому  району Тульской области</w:t>
            </w:r>
          </w:p>
        </w:tc>
        <w:tc>
          <w:tcPr>
            <w:tcW w:w="1985" w:type="dxa"/>
          </w:tcPr>
          <w:p w:rsidR="00441F3F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441F3F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B6F40" w:rsidRPr="000B6F40" w:rsidTr="000A7452">
        <w:tc>
          <w:tcPr>
            <w:tcW w:w="5353" w:type="dxa"/>
          </w:tcPr>
          <w:p w:rsidR="00441F3F" w:rsidRPr="000B6F40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</w:t>
            </w:r>
            <w:r w:rsidR="000C7531"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Новомосковскому</w:t>
            </w: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району Тульской области</w:t>
            </w:r>
          </w:p>
        </w:tc>
        <w:tc>
          <w:tcPr>
            <w:tcW w:w="1985" w:type="dxa"/>
          </w:tcPr>
          <w:p w:rsidR="00441F3F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441F3F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0B6F40" w:rsidRPr="000B6F40" w:rsidTr="000A7452">
        <w:tc>
          <w:tcPr>
            <w:tcW w:w="5353" w:type="dxa"/>
          </w:tcPr>
          <w:p w:rsidR="000C7531" w:rsidRPr="000B6F40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Одоевскому и Арсеньевскому  районам Тульской области</w:t>
            </w:r>
          </w:p>
        </w:tc>
        <w:tc>
          <w:tcPr>
            <w:tcW w:w="1985" w:type="dxa"/>
          </w:tcPr>
          <w:p w:rsidR="000C7531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C7531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B6F40" w:rsidRPr="000B6F40" w:rsidTr="000A7452">
        <w:tc>
          <w:tcPr>
            <w:tcW w:w="5353" w:type="dxa"/>
          </w:tcPr>
          <w:p w:rsidR="000C7531" w:rsidRPr="000B6F40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Суворовскому и Дубенскому районам Тульской области</w:t>
            </w:r>
          </w:p>
        </w:tc>
        <w:tc>
          <w:tcPr>
            <w:tcW w:w="1985" w:type="dxa"/>
          </w:tcPr>
          <w:p w:rsidR="000C7531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0C7531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B6F40" w:rsidRPr="000B6F40" w:rsidTr="000A7452">
        <w:tc>
          <w:tcPr>
            <w:tcW w:w="5353" w:type="dxa"/>
          </w:tcPr>
          <w:p w:rsidR="000C7531" w:rsidRPr="000B6F40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Узловскому, Киреевскому районам и г.Донской Тульской области</w:t>
            </w:r>
          </w:p>
        </w:tc>
        <w:tc>
          <w:tcPr>
            <w:tcW w:w="1985" w:type="dxa"/>
          </w:tcPr>
          <w:p w:rsidR="000C7531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C7531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B6F40" w:rsidRPr="000B6F40" w:rsidTr="000A7452">
        <w:tc>
          <w:tcPr>
            <w:tcW w:w="5353" w:type="dxa"/>
          </w:tcPr>
          <w:p w:rsidR="000C7531" w:rsidRPr="000B6F40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Щекинскому, Тепло-Огаревскому, Плавскому и Чернскому районам Тульской области</w:t>
            </w:r>
          </w:p>
        </w:tc>
        <w:tc>
          <w:tcPr>
            <w:tcW w:w="1985" w:type="dxa"/>
          </w:tcPr>
          <w:p w:rsidR="000C7531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0C7531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0C7531" w:rsidRPr="000B6F40" w:rsidTr="000A7452">
        <w:tc>
          <w:tcPr>
            <w:tcW w:w="5353" w:type="dxa"/>
          </w:tcPr>
          <w:p w:rsidR="000C7531" w:rsidRPr="000B6F40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Ясногорскому  району Тульской области</w:t>
            </w:r>
          </w:p>
        </w:tc>
        <w:tc>
          <w:tcPr>
            <w:tcW w:w="1985" w:type="dxa"/>
          </w:tcPr>
          <w:p w:rsidR="000C7531" w:rsidRPr="000B6F40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C7531" w:rsidRPr="000B6F40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6F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0A7452" w:rsidRPr="000B6F40" w:rsidRDefault="000A7452" w:rsidP="00373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5633" w:rsidRPr="000B6F40" w:rsidRDefault="008B6488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меньшилось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9D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0C149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коллективных обращений. За </w:t>
      </w:r>
      <w:r w:rsidR="000F1FC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D82DC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C149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5B380F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поступило</w:t>
      </w:r>
      <w:r w:rsidR="000C149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C149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="000C149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93D4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149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(АППГ: - 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F29D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1FC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меньшение</w:t>
      </w:r>
      <w:r w:rsidR="004F29D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EC6C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4F29D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84D4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5EC0" w:rsidRPr="002A4981" w:rsidRDefault="00F75EC0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5EC0" w:rsidRPr="002A4981" w:rsidRDefault="00F75EC0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498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E54E414" wp14:editId="09BE9B93">
            <wp:extent cx="5486400" cy="24574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62DC" w:rsidRPr="00970E2A" w:rsidRDefault="004B62DC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DD" w:rsidRPr="000B6F40" w:rsidRDefault="00682896" w:rsidP="00262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 w:rsidR="00644C7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</w:t>
      </w:r>
      <w:r w:rsidR="00644C7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повторных </w:t>
      </w:r>
      <w:r w:rsidR="00262BDD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неоднократных </w:t>
      </w:r>
      <w:r w:rsidR="00B84D4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граждан с </w:t>
      </w:r>
      <w:r w:rsidR="00BA3CC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B84D4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BA3CC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0,9</w:t>
      </w:r>
      <w:r w:rsidR="00B84D4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общего количества обращений</w:t>
      </w:r>
      <w:r w:rsidR="007F6A73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300A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2BDD" w:rsidRPr="000B6F40" w:rsidRDefault="00682896" w:rsidP="00262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="00262BDD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связано с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повышением качества рассмотрения обращений граждан, проведением превентивной работы.</w:t>
      </w:r>
    </w:p>
    <w:p w:rsidR="00261C53" w:rsidRPr="000B6F40" w:rsidRDefault="00BA3CC0" w:rsidP="00902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644C7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(АППГ: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644C7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обращени</w:t>
      </w:r>
      <w:r w:rsidR="00722C3D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44C7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2208DA" w:rsidRPr="000B6F40" w:rsidRDefault="0001264A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BA3CC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AC185B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427DE7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="00A506C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24C33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A506C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приеме </w:t>
      </w:r>
      <w:r w:rsidR="00811B4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Главном управлении</w:t>
      </w:r>
      <w:r w:rsidR="00A506C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9280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27DE7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r w:rsidR="0099280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CC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(АППГ: </w:t>
      </w:r>
      <w:r w:rsidR="00BA3CC0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0653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B6B8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5DE0" w:rsidRPr="000B6F40" w:rsidRDefault="005D3E46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</w:t>
      </w:r>
      <w:r w:rsidR="00831B7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осуществлялся начальником Главного управления Павловым А.А.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вопросу </w:t>
      </w:r>
      <w:r w:rsidR="00831B79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проверке соблюдений требований пожарной безопасности.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 разъяснительный ответ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оставил 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обращение. </w:t>
      </w:r>
    </w:p>
    <w:p w:rsidR="00831B79" w:rsidRPr="000B6F40" w:rsidRDefault="00831B79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в приемной президента осуществлялся первым заместителем начальника Главного управления Забаровским С.М.  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проверке соблюдений требований пожарной безопасности. 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A49" w:rsidRP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оставил письменное обращение.</w:t>
      </w:r>
    </w:p>
    <w:p w:rsidR="00831B79" w:rsidRPr="000B6F40" w:rsidRDefault="00831B79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осуществлялся заместителем начальника Главного управления (по антикризисному управлению) Ромащенко М.Г. Рассматривался вопрос об оказании содействия в восстановлении </w:t>
      </w:r>
      <w:r w:rsidR="001A201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утерянных документов, подтверждающих наличие подводных часов водолаза. </w:t>
      </w:r>
      <w:r w:rsidR="00486A49" w:rsidRP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оставил письменное обращение.</w:t>
      </w:r>
    </w:p>
    <w:p w:rsidR="001A2018" w:rsidRPr="000B6F40" w:rsidRDefault="001A2018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прием осуществлялся заместителем начальника Главного управления (начальник управления надзорной деятельности и профилактической работы) Лаврущевым В.М.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пожарной безопасности детей в школе. </w:t>
      </w:r>
      <w:r w:rsidR="00486A49" w:rsidRP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оставил письменное обращение.</w:t>
      </w:r>
    </w:p>
    <w:p w:rsidR="00831B79" w:rsidRPr="000B6F40" w:rsidRDefault="001A2018" w:rsidP="00E93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осуществлялся </w:t>
      </w:r>
      <w:r w:rsidR="00E931F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заместителем начальника управления – начальником отдела организации надзорных и профилактических мероприятий управления надзорной деятельности и профилактической работы Главного управления Агурьяновым А.В. 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931F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931F6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проверке соблюдений требований пожарной безопасности.</w:t>
      </w:r>
    </w:p>
    <w:p w:rsidR="007615C9" w:rsidRPr="000B6F40" w:rsidRDefault="007615C9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приема осуществлялись работниками отдела административной работы. Граждане лично получали разъяснительные ответы на обращения </w:t>
      </w:r>
      <w:r w:rsidR="00C83D2A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 сведений о наличии (отсутствии) маломерных судов.</w:t>
      </w:r>
      <w:r w:rsidR="0048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62DC" w:rsidRDefault="004B62DC" w:rsidP="00945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DC" w:rsidRDefault="004B62DC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9E20B" wp14:editId="288170ED">
            <wp:extent cx="5486400" cy="2211572"/>
            <wp:effectExtent l="0" t="0" r="1905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62DC" w:rsidRPr="00684A4C" w:rsidRDefault="004B62DC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71" w:rsidRPr="00157608" w:rsidRDefault="00FB7965" w:rsidP="000B6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06">
        <w:rPr>
          <w:color w:val="FF0000"/>
        </w:rPr>
        <w:tab/>
      </w:r>
    </w:p>
    <w:p w:rsidR="00BC2EB9" w:rsidRPr="000B6F40" w:rsidRDefault="000B6061" w:rsidP="00157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562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Главном управлении</w:t>
      </w:r>
      <w:r w:rsidR="003612F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соблюдаются требования законодательства Российской Федерации при организации работы с обращениями граждан в соответствии с требованиями Федерального закона от 02.05.2006 № 59-ФЗ</w:t>
      </w:r>
      <w:r w:rsidR="00FF3C6E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приказа МЧС России от 29.12.2021 № 933 «Об организации работы по рассмотрению обращению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065AE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приказа МЧС России от 09.07.2021 № 453 «Об</w:t>
      </w:r>
      <w:r w:rsidR="00A506C4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AE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</w:t>
      </w:r>
      <w:r w:rsidR="00227D0C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тавлении государственных услуг», </w:t>
      </w:r>
      <w:r w:rsidR="00640381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 МЧС России от 01.09.2023 №779 «Об утверждении порядка рассмотрения сообщений и обращений граждан и юридических лиц, поступающих с использованием технического решения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(функций)», и направления ответов на такие сообщения и обращения»</w:t>
      </w:r>
      <w:r w:rsidR="00583628" w:rsidRPr="000B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EB9" w:rsidRPr="00157608" w:rsidRDefault="00BC2EB9" w:rsidP="0015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2EB9" w:rsidRPr="00157608" w:rsidSect="00DD7ED5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30" w:rsidRDefault="00513C30" w:rsidP="00D57BFB">
      <w:pPr>
        <w:spacing w:after="0" w:line="240" w:lineRule="auto"/>
      </w:pPr>
      <w:r>
        <w:separator/>
      </w:r>
    </w:p>
  </w:endnote>
  <w:endnote w:type="continuationSeparator" w:id="0">
    <w:p w:rsidR="00513C30" w:rsidRDefault="00513C30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30" w:rsidRDefault="00513C30" w:rsidP="00D57BFB">
      <w:pPr>
        <w:spacing w:after="0" w:line="240" w:lineRule="auto"/>
      </w:pPr>
      <w:r>
        <w:separator/>
      </w:r>
    </w:p>
  </w:footnote>
  <w:footnote w:type="continuationSeparator" w:id="0">
    <w:p w:rsidR="00513C30" w:rsidRDefault="00513C30" w:rsidP="00D5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D0D47"/>
    <w:multiLevelType w:val="hybridMultilevel"/>
    <w:tmpl w:val="E5B87C9C"/>
    <w:lvl w:ilvl="0" w:tplc="0016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2A6AD7"/>
    <w:multiLevelType w:val="hybridMultilevel"/>
    <w:tmpl w:val="674E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E3E"/>
    <w:multiLevelType w:val="hybridMultilevel"/>
    <w:tmpl w:val="BF165614"/>
    <w:lvl w:ilvl="0" w:tplc="95D6CA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74616"/>
    <w:multiLevelType w:val="hybridMultilevel"/>
    <w:tmpl w:val="E2E4DA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37E4"/>
    <w:rsid w:val="00004D49"/>
    <w:rsid w:val="00005DE0"/>
    <w:rsid w:val="00007D90"/>
    <w:rsid w:val="00010069"/>
    <w:rsid w:val="00011634"/>
    <w:rsid w:val="0001264A"/>
    <w:rsid w:val="00014911"/>
    <w:rsid w:val="00026B82"/>
    <w:rsid w:val="0003357A"/>
    <w:rsid w:val="00034F15"/>
    <w:rsid w:val="000464CE"/>
    <w:rsid w:val="0004778F"/>
    <w:rsid w:val="000554A8"/>
    <w:rsid w:val="00061143"/>
    <w:rsid w:val="00063023"/>
    <w:rsid w:val="00065AE8"/>
    <w:rsid w:val="00073277"/>
    <w:rsid w:val="000751A2"/>
    <w:rsid w:val="00077397"/>
    <w:rsid w:val="00077F85"/>
    <w:rsid w:val="000807AE"/>
    <w:rsid w:val="000872BB"/>
    <w:rsid w:val="00095D7A"/>
    <w:rsid w:val="000A1B7D"/>
    <w:rsid w:val="000A540A"/>
    <w:rsid w:val="000A7452"/>
    <w:rsid w:val="000B2A55"/>
    <w:rsid w:val="000B4BD7"/>
    <w:rsid w:val="000B6061"/>
    <w:rsid w:val="000B6F40"/>
    <w:rsid w:val="000C149C"/>
    <w:rsid w:val="000C40F8"/>
    <w:rsid w:val="000C7531"/>
    <w:rsid w:val="000F1FC6"/>
    <w:rsid w:val="001138DF"/>
    <w:rsid w:val="00116573"/>
    <w:rsid w:val="00122C3A"/>
    <w:rsid w:val="00126EE8"/>
    <w:rsid w:val="00140535"/>
    <w:rsid w:val="00151377"/>
    <w:rsid w:val="00157608"/>
    <w:rsid w:val="00163822"/>
    <w:rsid w:val="001749B3"/>
    <w:rsid w:val="00185B05"/>
    <w:rsid w:val="001A2018"/>
    <w:rsid w:val="001A7240"/>
    <w:rsid w:val="001C7884"/>
    <w:rsid w:val="001D087C"/>
    <w:rsid w:val="001D1935"/>
    <w:rsid w:val="001D1A01"/>
    <w:rsid w:val="001D41C2"/>
    <w:rsid w:val="001D732F"/>
    <w:rsid w:val="001F155D"/>
    <w:rsid w:val="001F3402"/>
    <w:rsid w:val="00202767"/>
    <w:rsid w:val="0021013D"/>
    <w:rsid w:val="002208DA"/>
    <w:rsid w:val="00222851"/>
    <w:rsid w:val="0022767F"/>
    <w:rsid w:val="00227A69"/>
    <w:rsid w:val="00227D0C"/>
    <w:rsid w:val="00242422"/>
    <w:rsid w:val="00247F0A"/>
    <w:rsid w:val="00247FBF"/>
    <w:rsid w:val="002531D3"/>
    <w:rsid w:val="0026095E"/>
    <w:rsid w:val="00261C53"/>
    <w:rsid w:val="00262BDD"/>
    <w:rsid w:val="00266228"/>
    <w:rsid w:val="00277A25"/>
    <w:rsid w:val="00282695"/>
    <w:rsid w:val="002842BF"/>
    <w:rsid w:val="00291F91"/>
    <w:rsid w:val="00293185"/>
    <w:rsid w:val="00295DAB"/>
    <w:rsid w:val="002A062E"/>
    <w:rsid w:val="002A32C2"/>
    <w:rsid w:val="002A4981"/>
    <w:rsid w:val="002A6B34"/>
    <w:rsid w:val="002A773A"/>
    <w:rsid w:val="002B377B"/>
    <w:rsid w:val="002C4D97"/>
    <w:rsid w:val="002E0BC9"/>
    <w:rsid w:val="002E4536"/>
    <w:rsid w:val="002F2FD7"/>
    <w:rsid w:val="002F4671"/>
    <w:rsid w:val="00301C31"/>
    <w:rsid w:val="0030245A"/>
    <w:rsid w:val="00311B8B"/>
    <w:rsid w:val="00312709"/>
    <w:rsid w:val="003153C6"/>
    <w:rsid w:val="0032548A"/>
    <w:rsid w:val="00326445"/>
    <w:rsid w:val="00334D83"/>
    <w:rsid w:val="0034491A"/>
    <w:rsid w:val="003612F4"/>
    <w:rsid w:val="00364D8F"/>
    <w:rsid w:val="00371BF0"/>
    <w:rsid w:val="0037364E"/>
    <w:rsid w:val="0038689E"/>
    <w:rsid w:val="003A5633"/>
    <w:rsid w:val="003A5F5D"/>
    <w:rsid w:val="003A661F"/>
    <w:rsid w:val="003B43FE"/>
    <w:rsid w:val="003B6B89"/>
    <w:rsid w:val="003D0768"/>
    <w:rsid w:val="003F47E1"/>
    <w:rsid w:val="00401BDB"/>
    <w:rsid w:val="004153EF"/>
    <w:rsid w:val="004162F5"/>
    <w:rsid w:val="00426629"/>
    <w:rsid w:val="00427DE7"/>
    <w:rsid w:val="00435568"/>
    <w:rsid w:val="00440E5C"/>
    <w:rsid w:val="00441F3F"/>
    <w:rsid w:val="004655B9"/>
    <w:rsid w:val="004666CC"/>
    <w:rsid w:val="00471DC6"/>
    <w:rsid w:val="00481043"/>
    <w:rsid w:val="004819AA"/>
    <w:rsid w:val="004834BA"/>
    <w:rsid w:val="00486A49"/>
    <w:rsid w:val="00494441"/>
    <w:rsid w:val="004A62D1"/>
    <w:rsid w:val="004B62DC"/>
    <w:rsid w:val="004C24B1"/>
    <w:rsid w:val="004C3B5E"/>
    <w:rsid w:val="004D28FC"/>
    <w:rsid w:val="004D50BC"/>
    <w:rsid w:val="004E700C"/>
    <w:rsid w:val="004F085E"/>
    <w:rsid w:val="004F29D6"/>
    <w:rsid w:val="004F3620"/>
    <w:rsid w:val="004F741B"/>
    <w:rsid w:val="004F7787"/>
    <w:rsid w:val="00502281"/>
    <w:rsid w:val="00505CAC"/>
    <w:rsid w:val="00513C30"/>
    <w:rsid w:val="00514106"/>
    <w:rsid w:val="00530D95"/>
    <w:rsid w:val="005327BA"/>
    <w:rsid w:val="00537D4E"/>
    <w:rsid w:val="005452A1"/>
    <w:rsid w:val="00554B62"/>
    <w:rsid w:val="00583628"/>
    <w:rsid w:val="00586946"/>
    <w:rsid w:val="005965CD"/>
    <w:rsid w:val="005A4668"/>
    <w:rsid w:val="005B2033"/>
    <w:rsid w:val="005B380F"/>
    <w:rsid w:val="005C4D70"/>
    <w:rsid w:val="005D3E46"/>
    <w:rsid w:val="005E7F74"/>
    <w:rsid w:val="005F21C9"/>
    <w:rsid w:val="005F65FE"/>
    <w:rsid w:val="00600B20"/>
    <w:rsid w:val="00610C38"/>
    <w:rsid w:val="00611EB9"/>
    <w:rsid w:val="00612087"/>
    <w:rsid w:val="00615FBA"/>
    <w:rsid w:val="0061601C"/>
    <w:rsid w:val="00624C33"/>
    <w:rsid w:val="0062691E"/>
    <w:rsid w:val="00635BA5"/>
    <w:rsid w:val="00640381"/>
    <w:rsid w:val="00644C7C"/>
    <w:rsid w:val="00650B0B"/>
    <w:rsid w:val="00662E2C"/>
    <w:rsid w:val="006708CD"/>
    <w:rsid w:val="0067173F"/>
    <w:rsid w:val="00675660"/>
    <w:rsid w:val="00681DD5"/>
    <w:rsid w:val="00682896"/>
    <w:rsid w:val="00684A4C"/>
    <w:rsid w:val="00686C05"/>
    <w:rsid w:val="00692B86"/>
    <w:rsid w:val="006A148D"/>
    <w:rsid w:val="006B2A06"/>
    <w:rsid w:val="006B3332"/>
    <w:rsid w:val="006C0725"/>
    <w:rsid w:val="006C5284"/>
    <w:rsid w:val="006E0B32"/>
    <w:rsid w:val="006E688E"/>
    <w:rsid w:val="006F2258"/>
    <w:rsid w:val="006F63BF"/>
    <w:rsid w:val="007073C1"/>
    <w:rsid w:val="00722C3D"/>
    <w:rsid w:val="00723709"/>
    <w:rsid w:val="007316FB"/>
    <w:rsid w:val="00736072"/>
    <w:rsid w:val="00737738"/>
    <w:rsid w:val="00742EE0"/>
    <w:rsid w:val="007615C9"/>
    <w:rsid w:val="007636AF"/>
    <w:rsid w:val="00771FFF"/>
    <w:rsid w:val="007767D8"/>
    <w:rsid w:val="007776FD"/>
    <w:rsid w:val="00792C49"/>
    <w:rsid w:val="00796DAD"/>
    <w:rsid w:val="007C673F"/>
    <w:rsid w:val="007D67B3"/>
    <w:rsid w:val="007E028D"/>
    <w:rsid w:val="007F3044"/>
    <w:rsid w:val="007F6A73"/>
    <w:rsid w:val="00805D53"/>
    <w:rsid w:val="00811B49"/>
    <w:rsid w:val="008142AA"/>
    <w:rsid w:val="0081500D"/>
    <w:rsid w:val="00831B79"/>
    <w:rsid w:val="0083562C"/>
    <w:rsid w:val="00835699"/>
    <w:rsid w:val="0084022A"/>
    <w:rsid w:val="00851E62"/>
    <w:rsid w:val="00855275"/>
    <w:rsid w:val="00862F56"/>
    <w:rsid w:val="00865A52"/>
    <w:rsid w:val="00866AF9"/>
    <w:rsid w:val="00873985"/>
    <w:rsid w:val="00876D86"/>
    <w:rsid w:val="00880596"/>
    <w:rsid w:val="00896A60"/>
    <w:rsid w:val="008A0C38"/>
    <w:rsid w:val="008A6D42"/>
    <w:rsid w:val="008B6488"/>
    <w:rsid w:val="008B705A"/>
    <w:rsid w:val="008C4054"/>
    <w:rsid w:val="008C6871"/>
    <w:rsid w:val="008C68C2"/>
    <w:rsid w:val="008C7F5C"/>
    <w:rsid w:val="008D7DFC"/>
    <w:rsid w:val="008E7ACC"/>
    <w:rsid w:val="008F0BA5"/>
    <w:rsid w:val="00900038"/>
    <w:rsid w:val="00901AC5"/>
    <w:rsid w:val="0090200C"/>
    <w:rsid w:val="009029BF"/>
    <w:rsid w:val="00911BB5"/>
    <w:rsid w:val="00920FB5"/>
    <w:rsid w:val="009222F9"/>
    <w:rsid w:val="00925431"/>
    <w:rsid w:val="00940142"/>
    <w:rsid w:val="009439DC"/>
    <w:rsid w:val="00945FB5"/>
    <w:rsid w:val="009543AF"/>
    <w:rsid w:val="00962CB6"/>
    <w:rsid w:val="00970E2A"/>
    <w:rsid w:val="009819E0"/>
    <w:rsid w:val="009832A3"/>
    <w:rsid w:val="00987B95"/>
    <w:rsid w:val="00992806"/>
    <w:rsid w:val="009A1535"/>
    <w:rsid w:val="009A29E5"/>
    <w:rsid w:val="009A4DBB"/>
    <w:rsid w:val="009B29F3"/>
    <w:rsid w:val="009B6423"/>
    <w:rsid w:val="009D025D"/>
    <w:rsid w:val="009D2BD5"/>
    <w:rsid w:val="009D2EE8"/>
    <w:rsid w:val="009D62F6"/>
    <w:rsid w:val="009E300A"/>
    <w:rsid w:val="009F26B0"/>
    <w:rsid w:val="00A01FA4"/>
    <w:rsid w:val="00A2355A"/>
    <w:rsid w:val="00A25E08"/>
    <w:rsid w:val="00A37322"/>
    <w:rsid w:val="00A43660"/>
    <w:rsid w:val="00A444E7"/>
    <w:rsid w:val="00A506C4"/>
    <w:rsid w:val="00A61A31"/>
    <w:rsid w:val="00A73924"/>
    <w:rsid w:val="00A74A9F"/>
    <w:rsid w:val="00A7705E"/>
    <w:rsid w:val="00A86627"/>
    <w:rsid w:val="00A93D44"/>
    <w:rsid w:val="00A95672"/>
    <w:rsid w:val="00A973F1"/>
    <w:rsid w:val="00AB7646"/>
    <w:rsid w:val="00AC0EF9"/>
    <w:rsid w:val="00AC185B"/>
    <w:rsid w:val="00AC2B65"/>
    <w:rsid w:val="00AD1147"/>
    <w:rsid w:val="00AE4EFF"/>
    <w:rsid w:val="00AF7E75"/>
    <w:rsid w:val="00B30EDE"/>
    <w:rsid w:val="00B50513"/>
    <w:rsid w:val="00B51C45"/>
    <w:rsid w:val="00B5466C"/>
    <w:rsid w:val="00B71558"/>
    <w:rsid w:val="00B72487"/>
    <w:rsid w:val="00B83FC5"/>
    <w:rsid w:val="00B84D4C"/>
    <w:rsid w:val="00B852EA"/>
    <w:rsid w:val="00B861F5"/>
    <w:rsid w:val="00B92C86"/>
    <w:rsid w:val="00BA3CC0"/>
    <w:rsid w:val="00BA5F6B"/>
    <w:rsid w:val="00BC2EB9"/>
    <w:rsid w:val="00BC701F"/>
    <w:rsid w:val="00BD13BC"/>
    <w:rsid w:val="00BD2898"/>
    <w:rsid w:val="00BE1D77"/>
    <w:rsid w:val="00BE2049"/>
    <w:rsid w:val="00BE68A9"/>
    <w:rsid w:val="00BF6607"/>
    <w:rsid w:val="00C06534"/>
    <w:rsid w:val="00C103DC"/>
    <w:rsid w:val="00C16BF0"/>
    <w:rsid w:val="00C25A13"/>
    <w:rsid w:val="00C32C92"/>
    <w:rsid w:val="00C33932"/>
    <w:rsid w:val="00C461F8"/>
    <w:rsid w:val="00C51EE5"/>
    <w:rsid w:val="00C64E97"/>
    <w:rsid w:val="00C744D9"/>
    <w:rsid w:val="00C764A5"/>
    <w:rsid w:val="00C83B5D"/>
    <w:rsid w:val="00C83D2A"/>
    <w:rsid w:val="00C85DF6"/>
    <w:rsid w:val="00CA3103"/>
    <w:rsid w:val="00CB1715"/>
    <w:rsid w:val="00CB3D82"/>
    <w:rsid w:val="00CB67CD"/>
    <w:rsid w:val="00CE1ECC"/>
    <w:rsid w:val="00CF6017"/>
    <w:rsid w:val="00D01AF9"/>
    <w:rsid w:val="00D01BD9"/>
    <w:rsid w:val="00D17B0E"/>
    <w:rsid w:val="00D2066C"/>
    <w:rsid w:val="00D21A31"/>
    <w:rsid w:val="00D25A31"/>
    <w:rsid w:val="00D27469"/>
    <w:rsid w:val="00D27574"/>
    <w:rsid w:val="00D35EE7"/>
    <w:rsid w:val="00D57BFB"/>
    <w:rsid w:val="00D61959"/>
    <w:rsid w:val="00D6289A"/>
    <w:rsid w:val="00D82DCE"/>
    <w:rsid w:val="00D94E47"/>
    <w:rsid w:val="00D95338"/>
    <w:rsid w:val="00D96288"/>
    <w:rsid w:val="00DA5218"/>
    <w:rsid w:val="00DC142B"/>
    <w:rsid w:val="00DC26A9"/>
    <w:rsid w:val="00DD074A"/>
    <w:rsid w:val="00DD7B30"/>
    <w:rsid w:val="00DD7ED5"/>
    <w:rsid w:val="00DE08AB"/>
    <w:rsid w:val="00DE2122"/>
    <w:rsid w:val="00DF14D8"/>
    <w:rsid w:val="00E04C72"/>
    <w:rsid w:val="00E10736"/>
    <w:rsid w:val="00E1485D"/>
    <w:rsid w:val="00E152BE"/>
    <w:rsid w:val="00E422E8"/>
    <w:rsid w:val="00E4569F"/>
    <w:rsid w:val="00E46EBC"/>
    <w:rsid w:val="00E4791F"/>
    <w:rsid w:val="00E5239B"/>
    <w:rsid w:val="00E5664B"/>
    <w:rsid w:val="00E56E44"/>
    <w:rsid w:val="00E63349"/>
    <w:rsid w:val="00E64C28"/>
    <w:rsid w:val="00E6591B"/>
    <w:rsid w:val="00E767C2"/>
    <w:rsid w:val="00E86740"/>
    <w:rsid w:val="00E919BD"/>
    <w:rsid w:val="00E931F6"/>
    <w:rsid w:val="00E979B3"/>
    <w:rsid w:val="00EA7707"/>
    <w:rsid w:val="00EB30CF"/>
    <w:rsid w:val="00EB521F"/>
    <w:rsid w:val="00EB54BA"/>
    <w:rsid w:val="00EB7283"/>
    <w:rsid w:val="00EB7D23"/>
    <w:rsid w:val="00EC6C5B"/>
    <w:rsid w:val="00ED43CE"/>
    <w:rsid w:val="00ED596D"/>
    <w:rsid w:val="00EE4FB3"/>
    <w:rsid w:val="00EE574E"/>
    <w:rsid w:val="00EE5C6F"/>
    <w:rsid w:val="00EF6125"/>
    <w:rsid w:val="00F01EF0"/>
    <w:rsid w:val="00F035C0"/>
    <w:rsid w:val="00F10F11"/>
    <w:rsid w:val="00F15C90"/>
    <w:rsid w:val="00F17E6C"/>
    <w:rsid w:val="00F20BB2"/>
    <w:rsid w:val="00F20C7C"/>
    <w:rsid w:val="00F4044F"/>
    <w:rsid w:val="00F42394"/>
    <w:rsid w:val="00F43271"/>
    <w:rsid w:val="00F4452D"/>
    <w:rsid w:val="00F52DFD"/>
    <w:rsid w:val="00F5646C"/>
    <w:rsid w:val="00F569B0"/>
    <w:rsid w:val="00F62024"/>
    <w:rsid w:val="00F75EC0"/>
    <w:rsid w:val="00F864C7"/>
    <w:rsid w:val="00FB019E"/>
    <w:rsid w:val="00FB1078"/>
    <w:rsid w:val="00FB2788"/>
    <w:rsid w:val="00FB4109"/>
    <w:rsid w:val="00FB63AA"/>
    <w:rsid w:val="00FB7965"/>
    <w:rsid w:val="00FC04EB"/>
    <w:rsid w:val="00FC3A79"/>
    <w:rsid w:val="00FD2BA1"/>
    <w:rsid w:val="00FD5842"/>
    <w:rsid w:val="00FD701B"/>
    <w:rsid w:val="00FE2E40"/>
    <w:rsid w:val="00FE7BC1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C3FC2BF8-51F4-4604-A498-1F3AC019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8C68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C6871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4B62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9628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7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Поступившие обращения 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effectLst>
              <a:outerShdw blurRad="50800" dist="50800" dir="5400000" algn="ctr" rotWithShape="0">
                <a:srgbClr val="92D050"/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503</c:v>
                </c:pt>
                <c:pt idx="1">
                  <c:v>555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9280912"/>
        <c:axId val="229277384"/>
      </c:barChart>
      <c:catAx>
        <c:axId val="22928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9277384"/>
        <c:crosses val="autoZero"/>
        <c:auto val="1"/>
        <c:lblAlgn val="ctr"/>
        <c:lblOffset val="100"/>
        <c:noMultiLvlLbl val="0"/>
      </c:catAx>
      <c:valAx>
        <c:axId val="229277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809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</a:t>
            </a:r>
            <a:r>
              <a:rPr lang="ru-RU" baseline="0"/>
              <a:t> </a:t>
            </a:r>
            <a:r>
              <a:rPr lang="ru-RU"/>
              <a:t> обращений</a:t>
            </a:r>
            <a:r>
              <a:rPr lang="ru-RU" baseline="0"/>
              <a:t> </a:t>
            </a:r>
            <a:r>
              <a:rPr lang="ru-RU"/>
              <a:t> 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0542918760163148"/>
          <c:w val="0.62336723534558169"/>
          <c:h val="0.696278369615562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5">
                  <a:lumMod val="20000"/>
                  <a:lumOff val="80000"/>
                </a:schemeClr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3">
                  <a:lumMod val="75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электронные обращения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443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476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3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443</c:v>
                </c:pt>
                <c:pt idx="1">
                  <c:v>476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без ответа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1716176"/>
        <c:axId val="141716568"/>
      </c:barChart>
      <c:catAx>
        <c:axId val="14171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716568"/>
        <c:crosses val="autoZero"/>
        <c:auto val="1"/>
        <c:lblAlgn val="ctr"/>
        <c:lblOffset val="100"/>
        <c:noMultiLvlLbl val="0"/>
      </c:catAx>
      <c:valAx>
        <c:axId val="141716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16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Актуальные</a:t>
            </a:r>
            <a:r>
              <a:rPr lang="ru-RU" baseline="0"/>
              <a:t> вопросы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00B0F0"/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7.5065799066783317E-2"/>
                  <c:y val="-3.3145191122597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3641641149023038E-2"/>
                  <c:y val="3.602374989984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931740303295417E-2"/>
                  <c:y val="0.105239740680823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ГИМС</c:v>
                </c:pt>
                <c:pt idx="1">
                  <c:v>УНДиПР</c:v>
                </c:pt>
                <c:pt idx="2">
                  <c:v>остальные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350</c:v>
                </c:pt>
                <c:pt idx="1">
                  <c:v>141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</a:t>
            </a:r>
            <a:r>
              <a:rPr lang="ru-RU" baseline="0"/>
              <a:t> результатам рассмотрения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</c:spPr>
          </c:dPt>
          <c:dPt>
            <c:idx val="1"/>
            <c:bubble3D val="0"/>
            <c:spPr>
              <a:solidFill>
                <a:schemeClr val="accent2"/>
              </a:solidFill>
            </c:spPr>
          </c:dPt>
          <c:dPt>
            <c:idx val="2"/>
            <c:bubble3D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1.7441309419655878E-2"/>
                  <c:y val="-0.1664754166875637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b="1"/>
                      <a:t>457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97222222222223E-2"/>
                      <c:h val="6.031863851413477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2322287839020122E-2"/>
                  <c:y val="0.1128147516592272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2414333624963545E-2"/>
                  <c:y val="0.15058361335406326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разъяснительные ответы</c:v>
                </c:pt>
                <c:pt idx="1">
                  <c:v>поддержано</c:v>
                </c:pt>
                <c:pt idx="2">
                  <c:v>переадресовано по компетенции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457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Коллективные обращения 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effectLst>
              <a:outerShdw blurRad="50800" dist="50800" dir="5400000" algn="ctr" rotWithShape="0">
                <a:srgbClr val="1F497D">
                  <a:lumMod val="60000"/>
                  <a:lumOff val="40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1132256"/>
        <c:axId val="231127552"/>
      </c:barChart>
      <c:catAx>
        <c:axId val="23113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127552"/>
        <c:crosses val="autoZero"/>
        <c:auto val="1"/>
        <c:lblAlgn val="ctr"/>
        <c:lblOffset val="100"/>
        <c:noMultiLvlLbl val="0"/>
      </c:catAx>
      <c:valAx>
        <c:axId val="23112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132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Личный</a:t>
            </a:r>
            <a:r>
              <a:rPr lang="ru-RU" baseline="0"/>
              <a:t> прием </a:t>
            </a:r>
            <a:r>
              <a:rPr lang="ru-RU"/>
              <a:t>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  <a:effectLst>
              <a:outerShdw blurRad="50800" dist="50800" dir="5400000" algn="ctr" rotWithShape="0">
                <a:srgbClr val="92D050"/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  <a:ln>
                <a:solidFill>
                  <a:srgbClr val="9BBB59">
                    <a:lumMod val="75000"/>
                  </a:srgbClr>
                </a:solidFill>
              </a:ln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  <a:ln>
                <a:solidFill>
                  <a:srgbClr val="9BBB59">
                    <a:lumMod val="75000"/>
                  </a:srgbClr>
                </a:solidFill>
              </a:ln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1127944"/>
        <c:axId val="231125984"/>
      </c:barChart>
      <c:catAx>
        <c:axId val="231127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125984"/>
        <c:crosses val="autoZero"/>
        <c:auto val="1"/>
        <c:lblAlgn val="ctr"/>
        <c:lblOffset val="100"/>
        <c:noMultiLvlLbl val="0"/>
      </c:catAx>
      <c:valAx>
        <c:axId val="23112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1279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0.47739</cdr:x>
      <cdr:y>0.35294</cdr:y>
    </cdr:from>
    <cdr:to>
      <cdr:x>0.56597</cdr:x>
      <cdr:y>0.87914</cdr:y>
    </cdr:to>
    <cdr:sp macro="" textlink="">
      <cdr:nvSpPr>
        <cdr:cNvPr id="3" name="Стрелка вниз 2"/>
        <cdr:cNvSpPr/>
      </cdr:nvSpPr>
      <cdr:spPr>
        <a:xfrm xmlns:a="http://schemas.openxmlformats.org/drawingml/2006/main" rot="10800000">
          <a:off x="2619152" y="914400"/>
          <a:ext cx="485986" cy="136327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0.36816</cdr:x>
      <cdr:y>0.13546</cdr:y>
    </cdr:from>
    <cdr:to>
      <cdr:x>0.45139</cdr:x>
      <cdr:y>0.21393</cdr:y>
    </cdr:to>
    <cdr:sp macro="" textlink="">
      <cdr:nvSpPr>
        <cdr:cNvPr id="4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19873" y="361864"/>
          <a:ext cx="456633" cy="209636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555</a:t>
          </a:r>
        </a:p>
      </cdr:txBody>
    </cdr:sp>
  </cdr:relSizeAnchor>
  <cdr:relSizeAnchor xmlns:cdr="http://schemas.openxmlformats.org/drawingml/2006/chartDrawing">
    <cdr:from>
      <cdr:x>0.14179</cdr:x>
      <cdr:y>0.51998</cdr:y>
    </cdr:from>
    <cdr:to>
      <cdr:x>0.22637</cdr:x>
      <cdr:y>0.599</cdr:y>
    </cdr:to>
    <cdr:sp macro="" textlink="">
      <cdr:nvSpPr>
        <cdr:cNvPr id="5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77917" y="1389103"/>
          <a:ext cx="464039" cy="211097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503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0.25314</cdr:x>
      <cdr:y>0.62287</cdr:y>
    </cdr:from>
    <cdr:to>
      <cdr:x>0.33333</cdr:x>
      <cdr:y>0.74909</cdr:y>
    </cdr:to>
    <cdr:sp macro="" textlink="">
      <cdr:nvSpPr>
        <cdr:cNvPr id="4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88853" y="1530683"/>
          <a:ext cx="439947" cy="310179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tx2">
              <a:lumMod val="60000"/>
              <a:lumOff val="40000"/>
            </a:schemeClr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50%</a:t>
          </a:r>
        </a:p>
      </cdr:txBody>
    </cdr:sp>
  </cdr:relSizeAnchor>
  <cdr:relSizeAnchor xmlns:cdr="http://schemas.openxmlformats.org/drawingml/2006/chartDrawing">
    <cdr:from>
      <cdr:x>0.14339</cdr:x>
      <cdr:y>0.23922</cdr:y>
    </cdr:from>
    <cdr:to>
      <cdr:x>0.20872</cdr:x>
      <cdr:y>0.32426</cdr:y>
    </cdr:to>
    <cdr:sp macro="" textlink="">
      <cdr:nvSpPr>
        <cdr:cNvPr id="5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6677" y="587860"/>
          <a:ext cx="358427" cy="208981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2</a:t>
          </a:r>
        </a:p>
      </cdr:txBody>
    </cdr:sp>
  </cdr:relSizeAnchor>
  <cdr:relSizeAnchor xmlns:cdr="http://schemas.openxmlformats.org/drawingml/2006/chartDrawing">
    <cdr:from>
      <cdr:x>0.38294</cdr:x>
      <cdr:y>0.48188</cdr:y>
    </cdr:from>
    <cdr:to>
      <cdr:x>0.44827</cdr:x>
      <cdr:y>0.56692</cdr:y>
    </cdr:to>
    <cdr:sp macro="" textlink="">
      <cdr:nvSpPr>
        <cdr:cNvPr id="6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00942" y="1184190"/>
          <a:ext cx="358426" cy="208982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1</a:t>
          </a:r>
        </a:p>
      </cdr:txBody>
    </cdr:sp>
  </cdr:relSizeAnchor>
  <cdr:relSizeAnchor xmlns:cdr="http://schemas.openxmlformats.org/drawingml/2006/chartDrawing">
    <cdr:from>
      <cdr:x>0.25237</cdr:x>
      <cdr:y>0.28082</cdr:y>
    </cdr:from>
    <cdr:to>
      <cdr:x>0.34095</cdr:x>
      <cdr:y>0.56556</cdr:y>
    </cdr:to>
    <cdr:sp macro="" textlink="">
      <cdr:nvSpPr>
        <cdr:cNvPr id="7" name="Стрелка вниз 6"/>
        <cdr:cNvSpPr/>
      </cdr:nvSpPr>
      <cdr:spPr>
        <a:xfrm xmlns:a="http://schemas.openxmlformats.org/drawingml/2006/main">
          <a:off x="1384616" y="690113"/>
          <a:ext cx="485986" cy="699729"/>
        </a:xfrm>
        <a:prstGeom xmlns:a="http://schemas.openxmlformats.org/drawingml/2006/main" prst="downArrow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>
          <a:solidFill>
            <a:schemeClr val="tx2">
              <a:lumMod val="60000"/>
              <a:lumOff val="4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0.47739</cdr:x>
      <cdr:y>0.35294</cdr:y>
    </cdr:from>
    <cdr:to>
      <cdr:x>0.56597</cdr:x>
      <cdr:y>0.87914</cdr:y>
    </cdr:to>
    <cdr:sp macro="" textlink="">
      <cdr:nvSpPr>
        <cdr:cNvPr id="3" name="Стрелка вниз 2"/>
        <cdr:cNvSpPr/>
      </cdr:nvSpPr>
      <cdr:spPr>
        <a:xfrm xmlns:a="http://schemas.openxmlformats.org/drawingml/2006/main" rot="10800000">
          <a:off x="2619152" y="914400"/>
          <a:ext cx="485986" cy="1363276"/>
        </a:xfrm>
        <a:prstGeom xmlns:a="http://schemas.openxmlformats.org/drawingml/2006/main" prst="downArrow">
          <a:avLst/>
        </a:prstGeom>
        <a:solidFill xmlns:a="http://schemas.openxmlformats.org/drawingml/2006/main">
          <a:schemeClr val="accent3">
            <a:lumMod val="40000"/>
            <a:lumOff val="60000"/>
          </a:schemeClr>
        </a:solidFill>
        <a:ln xmlns:a="http://schemas.openxmlformats.org/drawingml/2006/main">
          <a:solidFill>
            <a:schemeClr val="accent3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0.13437</cdr:x>
      <cdr:y>0.48038</cdr:y>
    </cdr:from>
    <cdr:to>
      <cdr:x>0.20847</cdr:x>
      <cdr:y>0.5693</cdr:y>
    </cdr:to>
    <cdr:sp macro="" textlink="">
      <cdr:nvSpPr>
        <cdr:cNvPr id="4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37189" y="1062147"/>
          <a:ext cx="406543" cy="19660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3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200" b="1"/>
            <a:t>4</a:t>
          </a:r>
        </a:p>
      </cdr:txBody>
    </cdr:sp>
  </cdr:relSizeAnchor>
  <cdr:relSizeAnchor xmlns:cdr="http://schemas.openxmlformats.org/drawingml/2006/chartDrawing">
    <cdr:from>
      <cdr:x>0.36874</cdr:x>
      <cdr:y>0.238</cdr:y>
    </cdr:from>
    <cdr:to>
      <cdr:x>0.44285</cdr:x>
      <cdr:y>0.32692</cdr:y>
    </cdr:to>
    <cdr:sp macro="" textlink="">
      <cdr:nvSpPr>
        <cdr:cNvPr id="5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23037" y="526227"/>
          <a:ext cx="406597" cy="19660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3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200" b="1"/>
            <a:t>8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761B-3344-4046-AFD9-3DCBB43A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Cuks-obsh-4</cp:lastModifiedBy>
  <cp:revision>35</cp:revision>
  <cp:lastPrinted>2024-05-07T11:11:00Z</cp:lastPrinted>
  <dcterms:created xsi:type="dcterms:W3CDTF">2024-04-04T15:51:00Z</dcterms:created>
  <dcterms:modified xsi:type="dcterms:W3CDTF">2024-07-01T15:06:00Z</dcterms:modified>
</cp:coreProperties>
</file>